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170EE" w14:textId="77777777" w:rsidR="009E30CD" w:rsidRPr="00B633D6" w:rsidRDefault="009E30CD" w:rsidP="00B633D6">
      <w:pPr>
        <w:spacing w:after="80" w:line="360" w:lineRule="auto"/>
        <w:rPr>
          <w:b/>
          <w:bCs/>
        </w:rPr>
      </w:pPr>
    </w:p>
    <w:p w14:paraId="24167EC2" w14:textId="77777777" w:rsidR="009E30CD" w:rsidRPr="00B633D6" w:rsidRDefault="009E30CD" w:rsidP="00B633D6">
      <w:pPr>
        <w:spacing w:after="80" w:line="360" w:lineRule="auto"/>
        <w:rPr>
          <w:b/>
          <w:bCs/>
        </w:rPr>
      </w:pPr>
    </w:p>
    <w:p w14:paraId="21A68628" w14:textId="77777777" w:rsidR="009E30CD" w:rsidRPr="00B633D6" w:rsidRDefault="009E30CD" w:rsidP="00B633D6">
      <w:pPr>
        <w:spacing w:after="80" w:line="360" w:lineRule="auto"/>
        <w:rPr>
          <w:b/>
          <w:bCs/>
        </w:rPr>
      </w:pPr>
    </w:p>
    <w:p w14:paraId="106961F3" w14:textId="77777777" w:rsidR="009E30CD" w:rsidRPr="00B633D6" w:rsidRDefault="009E30CD" w:rsidP="00B633D6">
      <w:pPr>
        <w:spacing w:after="80" w:line="360" w:lineRule="auto"/>
        <w:rPr>
          <w:b/>
          <w:bCs/>
        </w:rPr>
      </w:pPr>
    </w:p>
    <w:p w14:paraId="56B4983F" w14:textId="77777777" w:rsidR="009E30CD" w:rsidRPr="00B633D6" w:rsidRDefault="009E30CD" w:rsidP="00B633D6">
      <w:pPr>
        <w:spacing w:after="80" w:line="360" w:lineRule="auto"/>
        <w:rPr>
          <w:b/>
          <w:bCs/>
        </w:rPr>
      </w:pPr>
    </w:p>
    <w:p w14:paraId="13C4CE47" w14:textId="77777777" w:rsidR="009E30CD" w:rsidRPr="00B633D6" w:rsidRDefault="009E30CD" w:rsidP="00B633D6">
      <w:pPr>
        <w:spacing w:after="80" w:line="360" w:lineRule="auto"/>
        <w:rPr>
          <w:b/>
          <w:bCs/>
        </w:rPr>
      </w:pPr>
    </w:p>
    <w:p w14:paraId="6CAA46A6" w14:textId="77777777" w:rsidR="009E30CD" w:rsidRPr="00B633D6" w:rsidRDefault="009E30CD" w:rsidP="00B633D6">
      <w:pPr>
        <w:spacing w:after="80" w:line="360" w:lineRule="auto"/>
        <w:rPr>
          <w:b/>
          <w:bCs/>
        </w:rPr>
      </w:pPr>
    </w:p>
    <w:p w14:paraId="58E92CB4" w14:textId="77777777" w:rsidR="009E30CD" w:rsidRPr="00B633D6" w:rsidRDefault="009E30CD" w:rsidP="00B633D6">
      <w:pPr>
        <w:spacing w:after="80" w:line="360" w:lineRule="auto"/>
        <w:rPr>
          <w:b/>
          <w:bCs/>
        </w:rPr>
      </w:pPr>
    </w:p>
    <w:p w14:paraId="2B747057" w14:textId="77777777" w:rsidR="009E30CD" w:rsidRPr="00B633D6" w:rsidRDefault="009E30CD" w:rsidP="00B633D6">
      <w:pPr>
        <w:spacing w:after="80" w:line="360" w:lineRule="auto"/>
        <w:rPr>
          <w:b/>
          <w:bCs/>
        </w:rPr>
      </w:pPr>
    </w:p>
    <w:p w14:paraId="37DE8451" w14:textId="0464D60D" w:rsidR="007320DE" w:rsidRPr="00B633D6" w:rsidRDefault="00000000" w:rsidP="00B633D6">
      <w:pPr>
        <w:spacing w:after="80" w:line="360" w:lineRule="auto"/>
        <w:jc w:val="center"/>
      </w:pPr>
      <w:r w:rsidRPr="00B633D6">
        <w:rPr>
          <w:b/>
          <w:bCs/>
        </w:rPr>
        <w:t xml:space="preserve">Student Number: </w:t>
      </w:r>
      <w:r w:rsidRPr="00B633D6">
        <w:t>2050633/1</w:t>
      </w:r>
    </w:p>
    <w:p w14:paraId="6E86EF2A" w14:textId="77777777" w:rsidR="007320DE" w:rsidRPr="00B633D6" w:rsidRDefault="00000000" w:rsidP="00B633D6">
      <w:pPr>
        <w:spacing w:after="80" w:line="360" w:lineRule="auto"/>
        <w:jc w:val="center"/>
      </w:pPr>
      <w:r w:rsidRPr="00B633D6">
        <w:rPr>
          <w:b/>
          <w:bCs/>
        </w:rPr>
        <w:t xml:space="preserve">Module: </w:t>
      </w:r>
      <w:r w:rsidRPr="00B633D6">
        <w:t>Criminal Law — UJUULF / UJUUB9 / UJUTD3</w:t>
      </w:r>
    </w:p>
    <w:p w14:paraId="03EF9A7B" w14:textId="148C7B35" w:rsidR="007320DE" w:rsidRPr="00B633D6" w:rsidRDefault="00000000" w:rsidP="00B633D6">
      <w:pPr>
        <w:spacing w:after="80" w:line="360" w:lineRule="auto"/>
        <w:jc w:val="center"/>
      </w:pPr>
      <w:r w:rsidRPr="00B633D6">
        <w:rPr>
          <w:b/>
          <w:bCs/>
        </w:rPr>
        <w:t xml:space="preserve">Word Count: </w:t>
      </w:r>
      <w:r w:rsidR="00165E91">
        <w:t>800</w:t>
      </w:r>
      <w:r w:rsidRPr="00B633D6">
        <w:t xml:space="preserve"> words</w:t>
      </w:r>
    </w:p>
    <w:p w14:paraId="2E0EC972" w14:textId="77777777" w:rsidR="009E30CD" w:rsidRPr="00B633D6" w:rsidRDefault="009E30CD" w:rsidP="00B633D6">
      <w:pPr>
        <w:spacing w:after="80" w:line="360" w:lineRule="auto"/>
        <w:jc w:val="center"/>
      </w:pPr>
    </w:p>
    <w:p w14:paraId="701842CD" w14:textId="77777777" w:rsidR="009E30CD" w:rsidRPr="00B633D6" w:rsidRDefault="009E30CD" w:rsidP="00B633D6">
      <w:pPr>
        <w:spacing w:after="80" w:line="360" w:lineRule="auto"/>
        <w:jc w:val="center"/>
      </w:pPr>
    </w:p>
    <w:p w14:paraId="206C309D" w14:textId="77777777" w:rsidR="009E30CD" w:rsidRPr="00B633D6" w:rsidRDefault="009E30CD" w:rsidP="00B633D6">
      <w:pPr>
        <w:spacing w:after="80" w:line="360" w:lineRule="auto"/>
        <w:jc w:val="center"/>
      </w:pPr>
    </w:p>
    <w:p w14:paraId="010FBE2C" w14:textId="77777777" w:rsidR="009E30CD" w:rsidRPr="00B633D6" w:rsidRDefault="009E30CD" w:rsidP="00B633D6">
      <w:pPr>
        <w:spacing w:after="80" w:line="360" w:lineRule="auto"/>
        <w:jc w:val="center"/>
      </w:pPr>
    </w:p>
    <w:p w14:paraId="06325E8B" w14:textId="77777777" w:rsidR="009E30CD" w:rsidRPr="00B633D6" w:rsidRDefault="009E30CD" w:rsidP="00B633D6">
      <w:pPr>
        <w:spacing w:after="80" w:line="360" w:lineRule="auto"/>
        <w:jc w:val="center"/>
      </w:pPr>
    </w:p>
    <w:p w14:paraId="1E5C26A4" w14:textId="77777777" w:rsidR="009E30CD" w:rsidRPr="00B633D6" w:rsidRDefault="009E30CD" w:rsidP="00B633D6">
      <w:pPr>
        <w:spacing w:after="80" w:line="360" w:lineRule="auto"/>
        <w:jc w:val="center"/>
      </w:pPr>
    </w:p>
    <w:p w14:paraId="3BB3476B" w14:textId="77777777" w:rsidR="009E30CD" w:rsidRPr="00B633D6" w:rsidRDefault="009E30CD" w:rsidP="00B633D6">
      <w:pPr>
        <w:spacing w:after="80" w:line="360" w:lineRule="auto"/>
        <w:jc w:val="center"/>
      </w:pPr>
    </w:p>
    <w:p w14:paraId="713D9DD9" w14:textId="77777777" w:rsidR="009E30CD" w:rsidRPr="00B633D6" w:rsidRDefault="009E30CD" w:rsidP="00B633D6">
      <w:pPr>
        <w:spacing w:after="80" w:line="360" w:lineRule="auto"/>
        <w:jc w:val="center"/>
      </w:pPr>
    </w:p>
    <w:p w14:paraId="44B02BAD" w14:textId="77777777" w:rsidR="009E30CD" w:rsidRPr="00B633D6" w:rsidRDefault="009E30CD" w:rsidP="00B633D6">
      <w:pPr>
        <w:spacing w:after="80" w:line="360" w:lineRule="auto"/>
        <w:jc w:val="center"/>
      </w:pPr>
    </w:p>
    <w:p w14:paraId="4C2508F2" w14:textId="77777777" w:rsidR="009E30CD" w:rsidRPr="00B633D6" w:rsidRDefault="009E30CD" w:rsidP="00B633D6">
      <w:pPr>
        <w:spacing w:after="80" w:line="360" w:lineRule="auto"/>
        <w:jc w:val="center"/>
      </w:pPr>
    </w:p>
    <w:p w14:paraId="5FBD5E1A" w14:textId="77777777" w:rsidR="009E30CD" w:rsidRPr="00B633D6" w:rsidRDefault="009E30CD" w:rsidP="00B633D6">
      <w:pPr>
        <w:spacing w:after="80" w:line="360" w:lineRule="auto"/>
        <w:jc w:val="center"/>
      </w:pPr>
    </w:p>
    <w:p w14:paraId="095C8A88" w14:textId="77777777" w:rsidR="009E30CD" w:rsidRPr="00B633D6" w:rsidRDefault="009E30CD" w:rsidP="00B633D6">
      <w:pPr>
        <w:spacing w:after="80" w:line="360" w:lineRule="auto"/>
        <w:jc w:val="center"/>
      </w:pPr>
    </w:p>
    <w:p w14:paraId="05635B31" w14:textId="77777777" w:rsidR="009E30CD" w:rsidRPr="00B633D6" w:rsidRDefault="009E30CD" w:rsidP="00B633D6">
      <w:pPr>
        <w:spacing w:after="80" w:line="360" w:lineRule="auto"/>
      </w:pPr>
    </w:p>
    <w:p w14:paraId="3D4103FC" w14:textId="77777777" w:rsidR="009E30CD" w:rsidRPr="00B633D6" w:rsidRDefault="009E30CD" w:rsidP="00B633D6">
      <w:pPr>
        <w:spacing w:after="80" w:line="360" w:lineRule="auto"/>
        <w:jc w:val="center"/>
      </w:pPr>
    </w:p>
    <w:p w14:paraId="7506E8A9" w14:textId="7381D579" w:rsidR="007320DE" w:rsidRPr="00B633D6" w:rsidRDefault="00000000" w:rsidP="00B633D6">
      <w:pPr>
        <w:spacing w:after="80" w:line="360" w:lineRule="auto"/>
      </w:pPr>
      <w:r w:rsidRPr="00B633D6">
        <w:rPr>
          <w:b/>
          <w:bCs/>
        </w:rPr>
        <w:t xml:space="preserve">AI Declaration: </w:t>
      </w:r>
      <w:r w:rsidRPr="00B633D6">
        <w:rPr>
          <w:rFonts w:ascii="Segoe UI Symbol" w:hAnsi="Segoe UI Symbol" w:cs="Segoe UI Symbol"/>
        </w:rPr>
        <w:t>☒</w:t>
      </w:r>
      <w:r w:rsidRPr="00B633D6">
        <w:t xml:space="preserve"> Yes — used for structure assistance only; all sources independently verified.</w:t>
      </w:r>
    </w:p>
    <w:p w14:paraId="708B8FF3" w14:textId="53EA0C67" w:rsidR="007320DE" w:rsidRPr="00B633D6" w:rsidRDefault="00000000" w:rsidP="00B633D6">
      <w:pPr>
        <w:spacing w:before="240" w:after="240" w:line="360" w:lineRule="auto"/>
        <w:jc w:val="center"/>
      </w:pPr>
      <w:r w:rsidRPr="00B633D6">
        <w:rPr>
          <w:b/>
          <w:bCs/>
          <w:u w:val="single"/>
        </w:rPr>
        <w:lastRenderedPageBreak/>
        <w:t>R v Ted Logan: Case Management Analysis</w:t>
      </w:r>
    </w:p>
    <w:p w14:paraId="351E3E29" w14:textId="77777777" w:rsidR="007320DE" w:rsidRPr="00B633D6" w:rsidRDefault="00000000" w:rsidP="00B633D6">
      <w:pPr>
        <w:spacing w:before="200" w:after="100" w:line="360" w:lineRule="auto"/>
      </w:pPr>
      <w:r w:rsidRPr="00B633D6">
        <w:rPr>
          <w:b/>
          <w:bCs/>
        </w:rPr>
        <w:t>1. Introduction</w:t>
      </w:r>
    </w:p>
    <w:p w14:paraId="64437F7D" w14:textId="32C1E2BF" w:rsidR="007320DE" w:rsidRPr="00B633D6" w:rsidRDefault="00EA5C0E" w:rsidP="00B633D6">
      <w:pPr>
        <w:spacing w:before="160" w:after="160" w:line="360" w:lineRule="auto"/>
        <w:jc w:val="both"/>
      </w:pPr>
      <w:r w:rsidRPr="00EA5C0E">
        <w:t xml:space="preserve">This is the law provided for the alleged murder of Bill Preston on 23 December 2024 on Wyld Stallyn Drive, who was murdered by the defendant Ted Logan. The analysis will include the law governing murder, constructive manslaughter, gross negligence manslaughter and/or appropriate non-fatal </w:t>
      </w:r>
      <w:r w:rsidRPr="00EA5C0E">
        <w:t>offences and</w:t>
      </w:r>
      <w:r w:rsidRPr="00EA5C0E">
        <w:t xml:space="preserve"> will make a recommendation regarding the charge. All legal analysis has been both limited and contained in this document, consistent with the ILAC methodology that was required by the assessment brief; The legal analysis to fact and the charging conclusion will be done orally at the case management meeting</w:t>
      </w:r>
      <w:r w:rsidR="00000000" w:rsidRPr="00B633D6">
        <w:t>.</w:t>
      </w:r>
    </w:p>
    <w:p w14:paraId="0C7EBB06" w14:textId="77777777" w:rsidR="007320DE" w:rsidRPr="00B633D6" w:rsidRDefault="00000000" w:rsidP="00B633D6">
      <w:pPr>
        <w:spacing w:before="200" w:after="100" w:line="360" w:lineRule="auto"/>
      </w:pPr>
      <w:r w:rsidRPr="00B633D6">
        <w:rPr>
          <w:b/>
          <w:bCs/>
        </w:rPr>
        <w:t>2. Actus Reus</w:t>
      </w:r>
    </w:p>
    <w:p w14:paraId="095AD236" w14:textId="1747D18C" w:rsidR="00B44F48" w:rsidRPr="00B633D6" w:rsidRDefault="00B44F48" w:rsidP="00B633D6">
      <w:pPr>
        <w:spacing w:before="160" w:after="160" w:line="360" w:lineRule="auto"/>
        <w:jc w:val="both"/>
      </w:pPr>
      <w:r w:rsidRPr="00B44F48">
        <w:t>An assault may be an action which arises out of no provocation and causes the defendant to reasonably believe that he or she is in imminent danger of being subjected to an unlawful force</w:t>
      </w:r>
      <w:r w:rsidR="00000000" w:rsidRPr="00B633D6">
        <w:t>.</w:t>
      </w:r>
      <w:r w:rsidR="00000000" w:rsidRPr="00B633D6">
        <w:rPr>
          <w:rStyle w:val="FootnoteReference"/>
        </w:rPr>
        <w:footnoteReference w:id="1"/>
      </w:r>
      <w:r w:rsidR="00000000" w:rsidRPr="00B633D6">
        <w:t xml:space="preserve"> </w:t>
      </w:r>
      <w:r w:rsidRPr="00B44F48">
        <w:t xml:space="preserve">For a homicide charge to be successful the prosecution </w:t>
      </w:r>
      <w:r w:rsidR="001908A6" w:rsidRPr="00B44F48">
        <w:t>must</w:t>
      </w:r>
      <w:r w:rsidRPr="00B44F48">
        <w:t xml:space="preserve"> also prove causation. But for need not be a factual but for (the defendant but for his/her action would not have killed the victim)</w:t>
      </w:r>
      <w:r w:rsidR="00000000" w:rsidRPr="00B633D6">
        <w:t>.</w:t>
      </w:r>
      <w:r w:rsidR="00000000" w:rsidRPr="00B633D6">
        <w:rPr>
          <w:rStyle w:val="FootnoteReference"/>
        </w:rPr>
        <w:footnoteReference w:id="2"/>
      </w:r>
      <w:r w:rsidR="00000000" w:rsidRPr="00B633D6">
        <w:t xml:space="preserve"> </w:t>
      </w:r>
      <w:r w:rsidRPr="00B44F48">
        <w:t>The original act also needs to be an ‘operating and substantial' cause of death at the time of the victim's death.</w:t>
      </w:r>
      <w:r w:rsidR="00000000" w:rsidRPr="00B633D6">
        <w:rPr>
          <w:rStyle w:val="FootnoteReference"/>
        </w:rPr>
        <w:footnoteReference w:id="3"/>
      </w:r>
      <w:r w:rsidR="00000000" w:rsidRPr="00B633D6">
        <w:t xml:space="preserve"> </w:t>
      </w:r>
      <w:r w:rsidRPr="00B44F48">
        <w:t>In the presence of a pre-existing condition, defendants are liable to accept the victim ‘as he is’, the ‘thin skull’ doctrine provides</w:t>
      </w:r>
      <w:r w:rsidR="00000000" w:rsidRPr="00B633D6">
        <w:t>.</w:t>
      </w:r>
      <w:r w:rsidR="00000000" w:rsidRPr="00B633D6">
        <w:rPr>
          <w:rStyle w:val="FootnoteReference"/>
        </w:rPr>
        <w:footnoteReference w:id="4"/>
      </w:r>
      <w:r w:rsidR="00000000" w:rsidRPr="00B633D6">
        <w:t xml:space="preserve"> </w:t>
      </w:r>
      <w:r w:rsidRPr="00B44F48">
        <w:t>A novus actus interveniens will only be found with treatment which is ‘palpably wrong', as per Jordan</w:t>
      </w:r>
      <w:r w:rsidR="00000000" w:rsidRPr="00B633D6">
        <w:rPr>
          <w:rStyle w:val="FootnoteReference"/>
        </w:rPr>
        <w:footnoteReference w:id="5"/>
      </w:r>
      <w:r>
        <w:t>.</w:t>
      </w:r>
    </w:p>
    <w:p w14:paraId="5B47C514" w14:textId="77777777" w:rsidR="007320DE" w:rsidRPr="00B633D6" w:rsidRDefault="00000000" w:rsidP="00B633D6">
      <w:pPr>
        <w:spacing w:before="200" w:after="100" w:line="360" w:lineRule="auto"/>
      </w:pPr>
      <w:r w:rsidRPr="00B633D6">
        <w:rPr>
          <w:b/>
          <w:bCs/>
        </w:rPr>
        <w:t>3. Murder</w:t>
      </w:r>
    </w:p>
    <w:p w14:paraId="6B606C80" w14:textId="702F98FF" w:rsidR="007320DE" w:rsidRPr="00B633D6" w:rsidRDefault="00A307FD" w:rsidP="00B633D6">
      <w:pPr>
        <w:spacing w:before="160" w:after="160" w:line="360" w:lineRule="auto"/>
        <w:jc w:val="both"/>
      </w:pPr>
      <w:r w:rsidRPr="00A307FD">
        <w:t>Murder is defined as killing a human being “under the Queen's Peace with the intention to kill or cause grievous bodily harm”</w:t>
      </w:r>
      <w:r w:rsidR="00000000" w:rsidRPr="00B633D6">
        <w:t>.</w:t>
      </w:r>
      <w:r w:rsidR="00000000" w:rsidRPr="00B633D6">
        <w:rPr>
          <w:rStyle w:val="FootnoteReference"/>
        </w:rPr>
        <w:footnoteReference w:id="6"/>
      </w:r>
      <w:r w:rsidR="00000000" w:rsidRPr="00B633D6">
        <w:t xml:space="preserve"> </w:t>
      </w:r>
      <w:r w:rsidRPr="00A307FD">
        <w:t>This was again confirmed in Vickers</w:t>
      </w:r>
      <w:r w:rsidR="00000000" w:rsidRPr="00B633D6">
        <w:t>.</w:t>
      </w:r>
      <w:r w:rsidR="00000000" w:rsidRPr="00B633D6">
        <w:rPr>
          <w:rStyle w:val="FootnoteReference"/>
        </w:rPr>
        <w:footnoteReference w:id="7"/>
      </w:r>
      <w:r w:rsidR="00000000" w:rsidRPr="00B633D6">
        <w:t xml:space="preserve"> </w:t>
      </w:r>
      <w:r w:rsidRPr="00A307FD">
        <w:t>In cases where there is no direct intent a jury is entitled to infer oblique intention when the defendant knew or could have known that death or serious injury was a 'virtual certainty' as a result of his actions</w:t>
      </w:r>
      <w:r w:rsidR="00000000" w:rsidRPr="00B633D6">
        <w:t>.</w:t>
      </w:r>
      <w:r w:rsidR="00000000" w:rsidRPr="00B633D6">
        <w:rPr>
          <w:rStyle w:val="FootnoteReference"/>
        </w:rPr>
        <w:footnoteReference w:id="8"/>
      </w:r>
      <w:r w:rsidR="00000000" w:rsidRPr="00B633D6">
        <w:t xml:space="preserve"> </w:t>
      </w:r>
      <w:r w:rsidRPr="00A307FD">
        <w:t xml:space="preserve">It is </w:t>
      </w:r>
      <w:r w:rsidRPr="00A307FD">
        <w:lastRenderedPageBreak/>
        <w:t>a high threshold and it is hard to expect this will be met only by evidence of an aggressive verbal confrontation, without any physical contact</w:t>
      </w:r>
      <w:r w:rsidR="00000000" w:rsidRPr="00B633D6">
        <w:t>.</w:t>
      </w:r>
    </w:p>
    <w:p w14:paraId="6D2F5B57" w14:textId="77777777" w:rsidR="007320DE" w:rsidRPr="00B633D6" w:rsidRDefault="00000000" w:rsidP="00B633D6">
      <w:pPr>
        <w:spacing w:before="200" w:after="100" w:line="360" w:lineRule="auto"/>
      </w:pPr>
      <w:r w:rsidRPr="00B633D6">
        <w:rPr>
          <w:b/>
          <w:bCs/>
        </w:rPr>
        <w:t>4. Constructive (Unlawful Act) Manslaughter</w:t>
      </w:r>
    </w:p>
    <w:p w14:paraId="4CD007B9" w14:textId="451E14B8" w:rsidR="007320DE" w:rsidRPr="00B633D6" w:rsidRDefault="00D678B9" w:rsidP="00B633D6">
      <w:pPr>
        <w:spacing w:before="160" w:after="160" w:line="360" w:lineRule="auto"/>
        <w:jc w:val="both"/>
      </w:pPr>
      <w:r w:rsidRPr="00D678B9">
        <w:t xml:space="preserve">To establish constructive manslaughter, four elements must be established in </w:t>
      </w:r>
      <w:r w:rsidR="00000000" w:rsidRPr="00B633D6">
        <w:rPr>
          <w:i/>
          <w:iCs/>
        </w:rPr>
        <w:t>Church</w:t>
      </w:r>
      <w:r w:rsidR="00000000" w:rsidRPr="00B633D6">
        <w:t>:</w:t>
      </w:r>
      <w:r w:rsidR="00000000" w:rsidRPr="00B633D6">
        <w:rPr>
          <w:rStyle w:val="FootnoteReference"/>
        </w:rPr>
        <w:footnoteReference w:id="9"/>
      </w:r>
      <w:r w:rsidR="00000000" w:rsidRPr="00B633D6">
        <w:t xml:space="preserve"> (i)</w:t>
      </w:r>
      <w:r w:rsidR="0071525D" w:rsidRPr="0071525D">
        <w:t xml:space="preserve"> an unlawful act (an action so dangerous that would have been recognized by a person of the same degree of reasonableness and prudence who would have acted with foresight in respect of the act); (ii) that the act actually caused the death; (iii) that the defendant actually possessed the </w:t>
      </w:r>
      <w:r w:rsidR="000B29BC" w:rsidRPr="0071525D">
        <w:t>men’s</w:t>
      </w:r>
      <w:r w:rsidR="0071525D" w:rsidRPr="0071525D">
        <w:t xml:space="preserve"> rea of the unlawful act. Defendant doesn't need to cause death or serious harm, only intent to do so to cause unlawful act is important</w:t>
      </w:r>
      <w:r w:rsidR="00000000" w:rsidRPr="00B633D6">
        <w:t>.</w:t>
      </w:r>
      <w:r w:rsidR="00000000" w:rsidRPr="00B633D6">
        <w:rPr>
          <w:rStyle w:val="FootnoteReference"/>
        </w:rPr>
        <w:footnoteReference w:id="10"/>
      </w:r>
      <w:r w:rsidR="00000000" w:rsidRPr="00B633D6">
        <w:t xml:space="preserve"> </w:t>
      </w:r>
      <w:r w:rsidR="0071525D" w:rsidRPr="0071525D">
        <w:t>It can be used especially when the interaction is aggressive and it is a given that it will always result into the final reaction and the outcome is never consistent, either good or bad</w:t>
      </w:r>
      <w:r w:rsidR="00000000" w:rsidRPr="00B633D6">
        <w:t>.</w:t>
      </w:r>
      <w:r w:rsidR="00000000" w:rsidRPr="00B633D6">
        <w:rPr>
          <w:rStyle w:val="FootnoteReference"/>
        </w:rPr>
        <w:footnoteReference w:id="11"/>
      </w:r>
    </w:p>
    <w:p w14:paraId="63C52C6E" w14:textId="77777777" w:rsidR="007320DE" w:rsidRPr="00B633D6" w:rsidRDefault="00000000" w:rsidP="00B633D6">
      <w:pPr>
        <w:spacing w:before="200" w:after="100" w:line="360" w:lineRule="auto"/>
      </w:pPr>
      <w:r w:rsidRPr="00B633D6">
        <w:rPr>
          <w:b/>
          <w:bCs/>
        </w:rPr>
        <w:t>5. Gross Negligence Manslaughter</w:t>
      </w:r>
    </w:p>
    <w:p w14:paraId="1E466B34" w14:textId="6F3D9460" w:rsidR="007320DE" w:rsidRPr="00B633D6" w:rsidRDefault="007F5414" w:rsidP="00B633D6">
      <w:pPr>
        <w:spacing w:before="160" w:after="160" w:line="360" w:lineRule="auto"/>
        <w:jc w:val="both"/>
      </w:pPr>
      <w:r w:rsidRPr="007F5414">
        <w:t>The requirement of Adomako is that</w:t>
      </w:r>
      <w:r w:rsidRPr="007F5414">
        <w:rPr>
          <w:vertAlign w:val="superscript"/>
        </w:rPr>
        <w:t xml:space="preserve"> </w:t>
      </w:r>
      <w:r w:rsidR="00000000" w:rsidRPr="00B633D6">
        <w:rPr>
          <w:rStyle w:val="FootnoteReference"/>
        </w:rPr>
        <w:footnoteReference w:id="12"/>
      </w:r>
      <w:r w:rsidR="00000000" w:rsidRPr="00B633D6">
        <w:t xml:space="preserve">: </w:t>
      </w:r>
      <w:r w:rsidR="000A00F6" w:rsidRPr="00B633D6">
        <w:t>(i)</w:t>
      </w:r>
      <w:r w:rsidR="000A00F6" w:rsidRPr="0071525D">
        <w:t xml:space="preserve"> </w:t>
      </w:r>
      <w:r w:rsidR="000A00F6" w:rsidRPr="000A00F6">
        <w:t xml:space="preserve">a failure to exercise the duty of care; </w:t>
      </w:r>
      <w:r w:rsidR="000A00F6" w:rsidRPr="0071525D">
        <w:t>(ii)</w:t>
      </w:r>
      <w:r w:rsidR="000A00F6" w:rsidRPr="000A00F6">
        <w:t xml:space="preserve"> a failure of that duty had created a risk of death to a </w:t>
      </w:r>
      <w:r w:rsidR="000A00F6" w:rsidRPr="000A00F6">
        <w:t>reasonably</w:t>
      </w:r>
      <w:r w:rsidR="000A00F6" w:rsidRPr="000A00F6">
        <w:t xml:space="preserve"> foreseeable person; </w:t>
      </w:r>
      <w:r w:rsidR="000A00F6" w:rsidRPr="0071525D">
        <w:t>(iii)</w:t>
      </w:r>
      <w:r w:rsidR="000A00F6" w:rsidRPr="000A00F6">
        <w:t xml:space="preserve"> the duty was grossly negligent to such a degree that it really merited criminality measures. This is only forms of manslaughter intended to take place in a professional relationship (physician, employer, etc.) in which there is a </w:t>
      </w:r>
      <w:r w:rsidR="000A00F6" w:rsidRPr="000A00F6">
        <w:t>recognized</w:t>
      </w:r>
      <w:r w:rsidR="000A00F6" w:rsidRPr="000A00F6">
        <w:t xml:space="preserve"> duty of care</w:t>
      </w:r>
      <w:r w:rsidR="00000000" w:rsidRPr="00B633D6">
        <w:t>.</w:t>
      </w:r>
      <w:r w:rsidR="00000000" w:rsidRPr="00B633D6">
        <w:rPr>
          <w:rStyle w:val="FootnoteReference"/>
        </w:rPr>
        <w:footnoteReference w:id="13"/>
      </w:r>
      <w:r w:rsidR="00000000" w:rsidRPr="00B633D6">
        <w:t xml:space="preserve"> </w:t>
      </w:r>
      <w:r w:rsidR="000A00F6" w:rsidRPr="000A00F6">
        <w:t>In the event of a ‘risk of death element' requiring an additional finding, it must be a risk of death at the time of creation, and to a reasonable bystander</w:t>
      </w:r>
      <w:r w:rsidR="00000000" w:rsidRPr="00B633D6">
        <w:t>.</w:t>
      </w:r>
      <w:r w:rsidR="00000000" w:rsidRPr="00B633D6">
        <w:rPr>
          <w:rStyle w:val="FootnoteReference"/>
        </w:rPr>
        <w:footnoteReference w:id="14"/>
      </w:r>
      <w:r w:rsidR="00000000" w:rsidRPr="00B633D6">
        <w:t xml:space="preserve"> </w:t>
      </w:r>
      <w:r w:rsidR="000A00F6" w:rsidRPr="000A00F6">
        <w:t>These requirements are not easily achievable on the facts given</w:t>
      </w:r>
      <w:r w:rsidR="00000000" w:rsidRPr="00B633D6">
        <w:t>.</w:t>
      </w:r>
    </w:p>
    <w:p w14:paraId="0E8B6B4E" w14:textId="77777777" w:rsidR="007320DE" w:rsidRPr="00B633D6" w:rsidRDefault="00000000" w:rsidP="00B633D6">
      <w:pPr>
        <w:spacing w:before="200" w:after="100" w:line="360" w:lineRule="auto"/>
      </w:pPr>
      <w:r w:rsidRPr="00B633D6">
        <w:rPr>
          <w:b/>
          <w:bCs/>
        </w:rPr>
        <w:t>6. Non-Fatal Offences Against the Person</w:t>
      </w:r>
    </w:p>
    <w:p w14:paraId="15A058C5" w14:textId="3510C176" w:rsidR="007320DE" w:rsidRPr="00B633D6" w:rsidRDefault="00B70E70" w:rsidP="00B633D6">
      <w:pPr>
        <w:spacing w:before="160" w:after="160" w:line="360" w:lineRule="auto"/>
        <w:jc w:val="both"/>
      </w:pPr>
      <w:r w:rsidRPr="00B70E70">
        <w:t>The other two offences that are worth mentioning are first qualifiers assault occasioning actual bodily harm which requires an assault, causing the actual bodily harm and occasioning the actual bodily harm.</w:t>
      </w:r>
      <w:r w:rsidR="00000000" w:rsidRPr="00B633D6">
        <w:rPr>
          <w:rStyle w:val="FootnoteReference"/>
        </w:rPr>
        <w:footnoteReference w:id="15"/>
      </w:r>
      <w:r w:rsidR="00000000" w:rsidRPr="00B633D6">
        <w:t xml:space="preserve"> </w:t>
      </w:r>
      <w:r w:rsidR="00766311" w:rsidRPr="00766311">
        <w:t xml:space="preserve">There is only an intent or recklessness </w:t>
      </w:r>
      <w:r w:rsidR="00766311" w:rsidRPr="00766311">
        <w:t>about</w:t>
      </w:r>
      <w:r w:rsidR="00766311" w:rsidRPr="00766311">
        <w:t xml:space="preserve"> the assault in the mens rea</w:t>
      </w:r>
      <w:r w:rsidR="00000000" w:rsidRPr="00B633D6">
        <w:t xml:space="preserve">. </w:t>
      </w:r>
      <w:r w:rsidR="00766311" w:rsidRPr="00766311">
        <w:lastRenderedPageBreak/>
        <w:t>For the second, if there was a wound as indicated by section</w:t>
      </w:r>
      <w:r w:rsidR="00000000" w:rsidRPr="00B633D6">
        <w:rPr>
          <w:rStyle w:val="FootnoteReference"/>
        </w:rPr>
        <w:footnoteReference w:id="16"/>
      </w:r>
      <w:r w:rsidR="00000000" w:rsidRPr="00B633D6">
        <w:t xml:space="preserve"> </w:t>
      </w:r>
      <w:r w:rsidR="00766311" w:rsidRPr="00766311">
        <w:t>there must be proof that the intended harm was foreseeable but not prohibited</w:t>
      </w:r>
      <w:r w:rsidR="00000000" w:rsidRPr="00B633D6">
        <w:t>.</w:t>
      </w:r>
      <w:r w:rsidR="00000000" w:rsidRPr="00B633D6">
        <w:rPr>
          <w:rStyle w:val="FootnoteReference"/>
        </w:rPr>
        <w:footnoteReference w:id="17"/>
      </w:r>
      <w:r w:rsidR="00000000" w:rsidRPr="00B633D6">
        <w:t xml:space="preserve"> </w:t>
      </w:r>
      <w:r w:rsidR="00766311" w:rsidRPr="00766311">
        <w:t xml:space="preserve">Remember that the partial </w:t>
      </w:r>
      <w:r w:rsidR="00766311" w:rsidRPr="00766311">
        <w:t>defense</w:t>
      </w:r>
      <w:r w:rsidR="00766311" w:rsidRPr="00766311">
        <w:t xml:space="preserve"> for loss of control as defined by section 54 of the Coroners and Justice Act 2009</w:t>
      </w:r>
      <w:r w:rsidR="00766311">
        <w:t xml:space="preserve"> </w:t>
      </w:r>
      <w:r w:rsidR="00766311" w:rsidRPr="00B633D6">
        <w:rPr>
          <w:rStyle w:val="FootnoteReference"/>
        </w:rPr>
        <w:footnoteReference w:id="18"/>
      </w:r>
      <w:r w:rsidR="00766311" w:rsidRPr="00766311">
        <w:t xml:space="preserve"> only applies to murder not manslaughter. The updated CPS guidance on homicide has been implemented in the prosecution</w:t>
      </w:r>
      <w:r w:rsidR="00000000" w:rsidRPr="00B633D6">
        <w:t>.</w:t>
      </w:r>
      <w:r w:rsidR="00000000" w:rsidRPr="00B633D6">
        <w:rPr>
          <w:rStyle w:val="FootnoteReference"/>
        </w:rPr>
        <w:footnoteReference w:id="19"/>
      </w:r>
    </w:p>
    <w:p w14:paraId="437A3158" w14:textId="77777777" w:rsidR="007320DE" w:rsidRPr="00B633D6" w:rsidRDefault="00000000" w:rsidP="00B633D6">
      <w:pPr>
        <w:spacing w:before="200" w:after="100" w:line="360" w:lineRule="auto"/>
      </w:pPr>
      <w:r w:rsidRPr="00B633D6">
        <w:rPr>
          <w:b/>
          <w:bCs/>
        </w:rPr>
        <w:t>7. Conclusion</w:t>
      </w:r>
    </w:p>
    <w:p w14:paraId="41C3C427" w14:textId="38801CDC" w:rsidR="007320DE" w:rsidRDefault="00F35FE7" w:rsidP="00B633D6">
      <w:pPr>
        <w:spacing w:before="160" w:after="160" w:line="360" w:lineRule="auto"/>
        <w:jc w:val="both"/>
      </w:pPr>
      <w:r w:rsidRPr="00F35FE7">
        <w:t>During the oral presentation, the principle(s) and legal tests will be applied at that time and decide charging. Given the circumstances as disclosed in the witness statements and medical evidence (allegation of assault and battery), the most relevant principle on which the actions fall is under the law of 'constructive manslaughter' as set out in Church</w:t>
      </w:r>
      <w:r w:rsidR="00000000" w:rsidRPr="00B633D6">
        <w:rPr>
          <w:rStyle w:val="FootnoteReference"/>
        </w:rPr>
        <w:footnoteReference w:id="20"/>
      </w:r>
      <w:r w:rsidR="00000000" w:rsidRPr="00B633D6">
        <w:t xml:space="preserve"> </w:t>
      </w:r>
      <w:r w:rsidRPr="00F35FE7">
        <w:t>and the principle of 'thin skull' as established in Blaue</w:t>
      </w:r>
      <w:r w:rsidRPr="00B633D6">
        <w:rPr>
          <w:rStyle w:val="FootnoteReference"/>
        </w:rPr>
        <w:t xml:space="preserve"> </w:t>
      </w:r>
      <w:r w:rsidR="00000000" w:rsidRPr="00B633D6">
        <w:rPr>
          <w:rStyle w:val="FootnoteReference"/>
        </w:rPr>
        <w:footnoteReference w:id="21"/>
      </w:r>
      <w:r w:rsidR="00000000" w:rsidRPr="00B633D6">
        <w:t xml:space="preserve"> </w:t>
      </w:r>
      <w:r w:rsidRPr="00F35FE7">
        <w:t>is a crucial part of the causation analysis. The ideas will be expanded upon in the oral submission as relates to the facts of R v Ted Logan</w:t>
      </w:r>
      <w:r w:rsidR="00000000" w:rsidRPr="00B633D6">
        <w:t>.</w:t>
      </w:r>
    </w:p>
    <w:p w14:paraId="392B64D6" w14:textId="25E0057B" w:rsidR="00B633D6" w:rsidRPr="00B633D6" w:rsidRDefault="00B633D6" w:rsidP="00B633D6">
      <w:pPr>
        <w:spacing w:line="360" w:lineRule="auto"/>
        <w:rPr>
          <w:b/>
          <w:bCs/>
        </w:rPr>
      </w:pPr>
    </w:p>
    <w:p w14:paraId="72DD5CB7" w14:textId="77777777" w:rsidR="00F35FE7" w:rsidRDefault="00F35FE7">
      <w:pPr>
        <w:rPr>
          <w:b/>
          <w:bCs/>
        </w:rPr>
      </w:pPr>
      <w:r>
        <w:rPr>
          <w:b/>
          <w:bCs/>
        </w:rPr>
        <w:br w:type="page"/>
      </w:r>
    </w:p>
    <w:p w14:paraId="1B2309A1" w14:textId="1E3F0632" w:rsidR="007320DE" w:rsidRPr="00B633D6" w:rsidRDefault="00000000" w:rsidP="00B633D6">
      <w:pPr>
        <w:spacing w:before="200" w:after="100" w:line="360" w:lineRule="auto"/>
      </w:pPr>
      <w:r w:rsidRPr="00B633D6">
        <w:rPr>
          <w:b/>
          <w:bCs/>
        </w:rPr>
        <w:lastRenderedPageBreak/>
        <w:t>Bibliography</w:t>
      </w:r>
    </w:p>
    <w:p w14:paraId="2A352328" w14:textId="77777777" w:rsidR="007320DE" w:rsidRPr="00B633D6" w:rsidRDefault="00000000" w:rsidP="00B633D6">
      <w:pPr>
        <w:spacing w:before="200" w:after="100" w:line="360" w:lineRule="auto"/>
      </w:pPr>
      <w:r w:rsidRPr="00B633D6">
        <w:rPr>
          <w:b/>
          <w:bCs/>
        </w:rPr>
        <w:t>Cases</w:t>
      </w:r>
    </w:p>
    <w:p w14:paraId="53927BD0" w14:textId="77777777" w:rsidR="007320DE" w:rsidRPr="00B633D6" w:rsidRDefault="00000000" w:rsidP="00B633D6">
      <w:pPr>
        <w:spacing w:before="60" w:after="60" w:line="360" w:lineRule="auto"/>
        <w:jc w:val="both"/>
      </w:pPr>
      <w:r w:rsidRPr="00B633D6">
        <w:rPr>
          <w:i/>
          <w:iCs/>
        </w:rPr>
        <w:t>DPP v Newbury</w:t>
      </w:r>
      <w:r w:rsidRPr="00B633D6">
        <w:t xml:space="preserve"> [1977] AC 500 (HL)</w:t>
      </w:r>
    </w:p>
    <w:p w14:paraId="35A4C2F0" w14:textId="77777777" w:rsidR="007320DE" w:rsidRPr="00B633D6" w:rsidRDefault="00000000" w:rsidP="00B633D6">
      <w:pPr>
        <w:spacing w:before="60" w:after="60" w:line="360" w:lineRule="auto"/>
        <w:jc w:val="both"/>
      </w:pPr>
      <w:r w:rsidRPr="00B633D6">
        <w:rPr>
          <w:i/>
          <w:iCs/>
        </w:rPr>
        <w:t>R v Adomako</w:t>
      </w:r>
      <w:r w:rsidRPr="00B633D6">
        <w:t xml:space="preserve"> [1995] 1 AC 171 (HL)</w:t>
      </w:r>
    </w:p>
    <w:p w14:paraId="0CD74C01" w14:textId="77777777" w:rsidR="007320DE" w:rsidRPr="00B633D6" w:rsidRDefault="00000000" w:rsidP="00B633D6">
      <w:pPr>
        <w:spacing w:before="60" w:after="60" w:line="360" w:lineRule="auto"/>
        <w:jc w:val="both"/>
      </w:pPr>
      <w:r w:rsidRPr="00B633D6">
        <w:rPr>
          <w:i/>
          <w:iCs/>
        </w:rPr>
        <w:t>R v Blaue</w:t>
      </w:r>
      <w:r w:rsidRPr="00B633D6">
        <w:t xml:space="preserve"> [1975] 1 WLR 1411 (CA)</w:t>
      </w:r>
    </w:p>
    <w:p w14:paraId="3A8B7B89" w14:textId="77777777" w:rsidR="007320DE" w:rsidRPr="00B633D6" w:rsidRDefault="00000000" w:rsidP="00B633D6">
      <w:pPr>
        <w:spacing w:before="60" w:after="60" w:line="360" w:lineRule="auto"/>
        <w:jc w:val="both"/>
      </w:pPr>
      <w:r w:rsidRPr="00B633D6">
        <w:rPr>
          <w:i/>
          <w:iCs/>
        </w:rPr>
        <w:t>R v Church</w:t>
      </w:r>
      <w:r w:rsidRPr="00B633D6">
        <w:t xml:space="preserve"> [1966] 1 QB 59 (CCA)</w:t>
      </w:r>
    </w:p>
    <w:p w14:paraId="140F00F4" w14:textId="77777777" w:rsidR="007320DE" w:rsidRPr="00B633D6" w:rsidRDefault="00000000" w:rsidP="00B633D6">
      <w:pPr>
        <w:spacing w:before="60" w:after="60" w:line="360" w:lineRule="auto"/>
        <w:jc w:val="both"/>
      </w:pPr>
      <w:r w:rsidRPr="00B633D6">
        <w:rPr>
          <w:i/>
          <w:iCs/>
        </w:rPr>
        <w:t>R v Ireland</w:t>
      </w:r>
      <w:r w:rsidRPr="00B633D6">
        <w:t xml:space="preserve"> [1998] AC 147 (HL)</w:t>
      </w:r>
    </w:p>
    <w:p w14:paraId="1EA43D60" w14:textId="77777777" w:rsidR="007320DE" w:rsidRPr="00B633D6" w:rsidRDefault="00000000" w:rsidP="00B633D6">
      <w:pPr>
        <w:spacing w:before="60" w:after="60" w:line="360" w:lineRule="auto"/>
        <w:jc w:val="both"/>
      </w:pPr>
      <w:r w:rsidRPr="00B633D6">
        <w:rPr>
          <w:i/>
          <w:iCs/>
        </w:rPr>
        <w:t>R v Jordan</w:t>
      </w:r>
      <w:r w:rsidRPr="00B633D6">
        <w:t xml:space="preserve"> (1956) 40 Cr App R 152 (CCA)</w:t>
      </w:r>
    </w:p>
    <w:p w14:paraId="1DD35036" w14:textId="77777777" w:rsidR="007320DE" w:rsidRPr="00B633D6" w:rsidRDefault="00000000" w:rsidP="00B633D6">
      <w:pPr>
        <w:spacing w:before="60" w:after="60" w:line="360" w:lineRule="auto"/>
        <w:jc w:val="both"/>
      </w:pPr>
      <w:r w:rsidRPr="00B633D6">
        <w:rPr>
          <w:i/>
          <w:iCs/>
        </w:rPr>
        <w:t>R v Moloney</w:t>
      </w:r>
      <w:r w:rsidRPr="00B633D6">
        <w:t xml:space="preserve"> [1985] AC 905 (HL)</w:t>
      </w:r>
    </w:p>
    <w:p w14:paraId="4EB8F445" w14:textId="77777777" w:rsidR="007320DE" w:rsidRPr="00B633D6" w:rsidRDefault="00000000" w:rsidP="00B633D6">
      <w:pPr>
        <w:spacing w:before="60" w:after="60" w:line="360" w:lineRule="auto"/>
        <w:jc w:val="both"/>
      </w:pPr>
      <w:r w:rsidRPr="00B633D6">
        <w:rPr>
          <w:i/>
          <w:iCs/>
        </w:rPr>
        <w:t>R v Savage; R v Parmenter</w:t>
      </w:r>
      <w:r w:rsidRPr="00B633D6">
        <w:t xml:space="preserve"> [1991] 4 All ER 698 (HL)</w:t>
      </w:r>
    </w:p>
    <w:p w14:paraId="287FCDF0" w14:textId="77777777" w:rsidR="007320DE" w:rsidRPr="00B633D6" w:rsidRDefault="00000000" w:rsidP="00B633D6">
      <w:pPr>
        <w:spacing w:before="60" w:after="60" w:line="360" w:lineRule="auto"/>
        <w:jc w:val="both"/>
      </w:pPr>
      <w:r w:rsidRPr="00B633D6">
        <w:rPr>
          <w:i/>
          <w:iCs/>
        </w:rPr>
        <w:t>R v Smith</w:t>
      </w:r>
      <w:r w:rsidRPr="00B633D6">
        <w:t xml:space="preserve"> [1959] 2 QB 35 (CMAC)</w:t>
      </w:r>
    </w:p>
    <w:p w14:paraId="4A0C45FB" w14:textId="77777777" w:rsidR="007320DE" w:rsidRPr="00B633D6" w:rsidRDefault="00000000" w:rsidP="00B633D6">
      <w:pPr>
        <w:spacing w:before="60" w:after="60" w:line="360" w:lineRule="auto"/>
        <w:jc w:val="both"/>
      </w:pPr>
      <w:r w:rsidRPr="00B633D6">
        <w:rPr>
          <w:i/>
          <w:iCs/>
        </w:rPr>
        <w:t>R v Vickers</w:t>
      </w:r>
      <w:r w:rsidRPr="00B633D6">
        <w:t xml:space="preserve"> [1957] 2 QB 664 (CCA)</w:t>
      </w:r>
    </w:p>
    <w:p w14:paraId="53E58733" w14:textId="77777777" w:rsidR="007320DE" w:rsidRPr="00B633D6" w:rsidRDefault="00000000" w:rsidP="00B633D6">
      <w:pPr>
        <w:spacing w:before="60" w:after="60" w:line="360" w:lineRule="auto"/>
        <w:jc w:val="both"/>
      </w:pPr>
      <w:r w:rsidRPr="00B633D6">
        <w:rPr>
          <w:i/>
          <w:iCs/>
        </w:rPr>
        <w:t>R v White</w:t>
      </w:r>
      <w:r w:rsidRPr="00B633D6">
        <w:t xml:space="preserve"> [1910] 2 KB 124 (CCA)</w:t>
      </w:r>
    </w:p>
    <w:p w14:paraId="27808147" w14:textId="77777777" w:rsidR="007320DE" w:rsidRPr="00B633D6" w:rsidRDefault="00000000" w:rsidP="00B633D6">
      <w:pPr>
        <w:spacing w:before="60" w:after="60" w:line="360" w:lineRule="auto"/>
        <w:jc w:val="both"/>
      </w:pPr>
      <w:r w:rsidRPr="00B633D6">
        <w:rPr>
          <w:i/>
          <w:iCs/>
        </w:rPr>
        <w:t>R v Woollin</w:t>
      </w:r>
      <w:r w:rsidRPr="00B633D6">
        <w:t xml:space="preserve"> [1999] AC 82 (HL)</w:t>
      </w:r>
    </w:p>
    <w:p w14:paraId="07EC3ACB" w14:textId="77777777" w:rsidR="007320DE" w:rsidRPr="00B633D6" w:rsidRDefault="00000000" w:rsidP="00B633D6">
      <w:pPr>
        <w:spacing w:before="200" w:after="100" w:line="360" w:lineRule="auto"/>
      </w:pPr>
      <w:r w:rsidRPr="00B633D6">
        <w:rPr>
          <w:b/>
          <w:bCs/>
        </w:rPr>
        <w:t>Legislation</w:t>
      </w:r>
    </w:p>
    <w:p w14:paraId="0C98217E" w14:textId="77777777" w:rsidR="007320DE" w:rsidRPr="00B633D6" w:rsidRDefault="00000000" w:rsidP="00B633D6">
      <w:pPr>
        <w:spacing w:before="60" w:after="60" w:line="360" w:lineRule="auto"/>
        <w:jc w:val="both"/>
      </w:pPr>
      <w:r w:rsidRPr="00B633D6">
        <w:t>Coroners and Justice Act 2009</w:t>
      </w:r>
    </w:p>
    <w:p w14:paraId="4349848A" w14:textId="77777777" w:rsidR="007320DE" w:rsidRPr="00B633D6" w:rsidRDefault="00000000" w:rsidP="00B633D6">
      <w:pPr>
        <w:spacing w:before="60" w:after="60" w:line="360" w:lineRule="auto"/>
        <w:jc w:val="both"/>
      </w:pPr>
      <w:r w:rsidRPr="00B633D6">
        <w:t>Offences Against the Person Act 1861</w:t>
      </w:r>
    </w:p>
    <w:p w14:paraId="766E6A96" w14:textId="77777777" w:rsidR="007320DE" w:rsidRPr="00B633D6" w:rsidRDefault="00000000" w:rsidP="00B633D6">
      <w:pPr>
        <w:spacing w:before="200" w:after="100" w:line="360" w:lineRule="auto"/>
      </w:pPr>
      <w:r w:rsidRPr="00B633D6">
        <w:rPr>
          <w:b/>
          <w:bCs/>
        </w:rPr>
        <w:t>Books</w:t>
      </w:r>
    </w:p>
    <w:p w14:paraId="04FBEF23" w14:textId="77777777" w:rsidR="007320DE" w:rsidRPr="00B633D6" w:rsidRDefault="00000000" w:rsidP="00B633D6">
      <w:pPr>
        <w:spacing w:before="60" w:after="60" w:line="360" w:lineRule="auto"/>
        <w:jc w:val="both"/>
      </w:pPr>
      <w:r w:rsidRPr="00B633D6">
        <w:t xml:space="preserve">Herring J, </w:t>
      </w:r>
      <w:r w:rsidRPr="00B633D6">
        <w:rPr>
          <w:i/>
          <w:iCs/>
        </w:rPr>
        <w:t>Criminal Law: Text, Cases and Materials</w:t>
      </w:r>
      <w:r w:rsidRPr="00B633D6">
        <w:t xml:space="preserve"> (9th edn, OUP 2020)</w:t>
      </w:r>
    </w:p>
    <w:p w14:paraId="5011C1E5" w14:textId="77777777" w:rsidR="007320DE" w:rsidRPr="00B633D6" w:rsidRDefault="00000000" w:rsidP="00B633D6">
      <w:pPr>
        <w:spacing w:before="60" w:after="60" w:line="360" w:lineRule="auto"/>
        <w:jc w:val="both"/>
      </w:pPr>
      <w:r w:rsidRPr="00B633D6">
        <w:t xml:space="preserve">Ormerod D and Laird K, </w:t>
      </w:r>
      <w:r w:rsidRPr="00B633D6">
        <w:rPr>
          <w:i/>
          <w:iCs/>
        </w:rPr>
        <w:t>Smith, Hogan and Ormerod's Criminal Law</w:t>
      </w:r>
      <w:r w:rsidRPr="00B633D6">
        <w:t xml:space="preserve"> (15th edn, OUP 2018)</w:t>
      </w:r>
    </w:p>
    <w:p w14:paraId="54484029" w14:textId="77777777" w:rsidR="007320DE" w:rsidRPr="00B633D6" w:rsidRDefault="00000000" w:rsidP="00B633D6">
      <w:pPr>
        <w:spacing w:before="200" w:after="100" w:line="360" w:lineRule="auto"/>
      </w:pPr>
      <w:r w:rsidRPr="00B633D6">
        <w:rPr>
          <w:b/>
          <w:bCs/>
        </w:rPr>
        <w:t>Online Resources</w:t>
      </w:r>
    </w:p>
    <w:p w14:paraId="72D25A28" w14:textId="77777777" w:rsidR="007320DE" w:rsidRPr="00B633D6" w:rsidRDefault="00000000" w:rsidP="00B633D6">
      <w:pPr>
        <w:spacing w:before="60" w:after="60" w:line="360" w:lineRule="auto"/>
        <w:jc w:val="both"/>
      </w:pPr>
      <w:r w:rsidRPr="00B633D6">
        <w:t>Crown Prosecution Service, 'Homicide: Murder and Manslaughter' (CPS, 2024) &lt;https://www.cps.gov.uk/legal-guidance/homicide-murder-and-manslaughter&gt; accessed 28 June 2025</w:t>
      </w:r>
    </w:p>
    <w:sectPr w:rsidR="007320DE" w:rsidRPr="00B633D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8637A" w14:textId="77777777" w:rsidR="009676D0" w:rsidRDefault="009676D0">
      <w:r>
        <w:separator/>
      </w:r>
    </w:p>
  </w:endnote>
  <w:endnote w:type="continuationSeparator" w:id="0">
    <w:p w14:paraId="311D9A92" w14:textId="77777777" w:rsidR="009676D0" w:rsidRDefault="00967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2E388" w14:textId="77777777" w:rsidR="009676D0" w:rsidRDefault="009676D0">
      <w:r>
        <w:separator/>
      </w:r>
    </w:p>
  </w:footnote>
  <w:footnote w:type="continuationSeparator" w:id="0">
    <w:p w14:paraId="0D74F3CE" w14:textId="77777777" w:rsidR="009676D0" w:rsidRDefault="009676D0">
      <w:r>
        <w:continuationSeparator/>
      </w:r>
    </w:p>
  </w:footnote>
  <w:footnote w:id="1">
    <w:p w14:paraId="3D4865AA" w14:textId="77777777" w:rsidR="007320DE" w:rsidRDefault="00000000">
      <w:pPr>
        <w:spacing w:before="80" w:after="80"/>
      </w:pPr>
      <w:r>
        <w:rPr>
          <w:rStyle w:val="FootnoteReference"/>
        </w:rPr>
        <w:footnoteRef/>
      </w:r>
      <w:r>
        <w:rPr>
          <w:i/>
          <w:iCs/>
          <w:sz w:val="18"/>
          <w:szCs w:val="18"/>
        </w:rPr>
        <w:t>R v Ireland</w:t>
      </w:r>
      <w:r>
        <w:rPr>
          <w:sz w:val="18"/>
          <w:szCs w:val="18"/>
        </w:rPr>
        <w:t xml:space="preserve"> [1998] AC 147 (HL).</w:t>
      </w:r>
    </w:p>
  </w:footnote>
  <w:footnote w:id="2">
    <w:p w14:paraId="1D7101C1" w14:textId="77777777" w:rsidR="007320DE" w:rsidRDefault="00000000">
      <w:pPr>
        <w:spacing w:before="80" w:after="80"/>
      </w:pPr>
      <w:r>
        <w:rPr>
          <w:rStyle w:val="FootnoteReference"/>
        </w:rPr>
        <w:footnoteRef/>
      </w:r>
      <w:r>
        <w:rPr>
          <w:i/>
          <w:iCs/>
          <w:sz w:val="18"/>
          <w:szCs w:val="18"/>
        </w:rPr>
        <w:t>R v Church</w:t>
      </w:r>
      <w:r>
        <w:rPr>
          <w:sz w:val="18"/>
          <w:szCs w:val="18"/>
        </w:rPr>
        <w:t xml:space="preserve"> [1966] 1 QB 59 (CCA).</w:t>
      </w:r>
    </w:p>
  </w:footnote>
  <w:footnote w:id="3">
    <w:p w14:paraId="135CF82C" w14:textId="77777777" w:rsidR="007320DE" w:rsidRDefault="00000000">
      <w:pPr>
        <w:spacing w:before="80" w:after="80"/>
      </w:pPr>
      <w:r>
        <w:rPr>
          <w:rStyle w:val="FootnoteReference"/>
        </w:rPr>
        <w:footnoteRef/>
      </w:r>
      <w:r>
        <w:rPr>
          <w:i/>
          <w:iCs/>
          <w:sz w:val="18"/>
          <w:szCs w:val="18"/>
        </w:rPr>
        <w:t>R v White</w:t>
      </w:r>
      <w:r>
        <w:rPr>
          <w:sz w:val="18"/>
          <w:szCs w:val="18"/>
        </w:rPr>
        <w:t xml:space="preserve"> [1910] 2 KB 124 (CCA).</w:t>
      </w:r>
    </w:p>
  </w:footnote>
  <w:footnote w:id="4">
    <w:p w14:paraId="70A96628" w14:textId="77777777" w:rsidR="007320DE" w:rsidRDefault="00000000">
      <w:pPr>
        <w:spacing w:before="80" w:after="80"/>
      </w:pPr>
      <w:r>
        <w:rPr>
          <w:rStyle w:val="FootnoteReference"/>
        </w:rPr>
        <w:footnoteRef/>
      </w:r>
      <w:r>
        <w:rPr>
          <w:i/>
          <w:iCs/>
          <w:sz w:val="18"/>
          <w:szCs w:val="18"/>
        </w:rPr>
        <w:t>R v Smith</w:t>
      </w:r>
      <w:r>
        <w:rPr>
          <w:sz w:val="18"/>
          <w:szCs w:val="18"/>
        </w:rPr>
        <w:t xml:space="preserve"> [1959] 2 QB 35 (CMAC).</w:t>
      </w:r>
    </w:p>
  </w:footnote>
  <w:footnote w:id="5">
    <w:p w14:paraId="2DC0F2E2" w14:textId="77777777" w:rsidR="007320DE" w:rsidRDefault="00000000">
      <w:pPr>
        <w:spacing w:before="80" w:after="80"/>
      </w:pPr>
      <w:r>
        <w:rPr>
          <w:rStyle w:val="FootnoteReference"/>
        </w:rPr>
        <w:footnoteRef/>
      </w:r>
      <w:r>
        <w:rPr>
          <w:i/>
          <w:iCs/>
          <w:sz w:val="18"/>
          <w:szCs w:val="18"/>
        </w:rPr>
        <w:t>R v Blaue</w:t>
      </w:r>
      <w:r>
        <w:rPr>
          <w:sz w:val="18"/>
          <w:szCs w:val="18"/>
        </w:rPr>
        <w:t xml:space="preserve"> [1975] 1 WLR 1411 (CA).</w:t>
      </w:r>
    </w:p>
  </w:footnote>
  <w:footnote w:id="6">
    <w:p w14:paraId="5E32A6BC" w14:textId="77777777" w:rsidR="007320DE" w:rsidRDefault="00000000">
      <w:pPr>
        <w:spacing w:before="80" w:after="80"/>
      </w:pPr>
      <w:r>
        <w:rPr>
          <w:rStyle w:val="FootnoteReference"/>
        </w:rPr>
        <w:footnoteRef/>
      </w:r>
      <w:r>
        <w:rPr>
          <w:i/>
          <w:iCs/>
          <w:sz w:val="18"/>
          <w:szCs w:val="18"/>
        </w:rPr>
        <w:t>R v Jordan</w:t>
      </w:r>
      <w:r>
        <w:rPr>
          <w:sz w:val="18"/>
          <w:szCs w:val="18"/>
        </w:rPr>
        <w:t xml:space="preserve"> (1956) 40 Cr App R 152 (CCA).</w:t>
      </w:r>
    </w:p>
  </w:footnote>
  <w:footnote w:id="7">
    <w:p w14:paraId="583363F2" w14:textId="77777777" w:rsidR="007320DE" w:rsidRDefault="00000000">
      <w:pPr>
        <w:spacing w:before="80" w:after="80"/>
      </w:pPr>
      <w:r>
        <w:rPr>
          <w:rStyle w:val="FootnoteReference"/>
        </w:rPr>
        <w:footnoteRef/>
      </w:r>
      <w:r>
        <w:rPr>
          <w:i/>
          <w:iCs/>
          <w:sz w:val="18"/>
          <w:szCs w:val="18"/>
        </w:rPr>
        <w:t>R v Moloney</w:t>
      </w:r>
      <w:r>
        <w:rPr>
          <w:sz w:val="18"/>
          <w:szCs w:val="18"/>
        </w:rPr>
        <w:t xml:space="preserve"> [1985] AC 905 (HL).</w:t>
      </w:r>
    </w:p>
  </w:footnote>
  <w:footnote w:id="8">
    <w:p w14:paraId="468E1919" w14:textId="77777777" w:rsidR="007320DE" w:rsidRDefault="00000000">
      <w:pPr>
        <w:spacing w:before="80" w:after="80"/>
      </w:pPr>
      <w:r>
        <w:rPr>
          <w:rStyle w:val="FootnoteReference"/>
        </w:rPr>
        <w:footnoteRef/>
      </w:r>
      <w:r>
        <w:rPr>
          <w:i/>
          <w:iCs/>
          <w:sz w:val="18"/>
          <w:szCs w:val="18"/>
        </w:rPr>
        <w:t>R v Vickers</w:t>
      </w:r>
      <w:r>
        <w:rPr>
          <w:sz w:val="18"/>
          <w:szCs w:val="18"/>
        </w:rPr>
        <w:t xml:space="preserve"> [1957] 2 QB 664 (CCA).</w:t>
      </w:r>
    </w:p>
  </w:footnote>
  <w:footnote w:id="9">
    <w:p w14:paraId="5465BA49" w14:textId="77777777" w:rsidR="007320DE" w:rsidRDefault="00000000">
      <w:pPr>
        <w:spacing w:before="80" w:after="80"/>
      </w:pPr>
      <w:r>
        <w:rPr>
          <w:rStyle w:val="FootnoteReference"/>
        </w:rPr>
        <w:footnoteRef/>
      </w:r>
      <w:r>
        <w:rPr>
          <w:i/>
          <w:iCs/>
          <w:sz w:val="18"/>
          <w:szCs w:val="18"/>
        </w:rPr>
        <w:t>R v Woollin</w:t>
      </w:r>
      <w:r>
        <w:rPr>
          <w:sz w:val="18"/>
          <w:szCs w:val="18"/>
        </w:rPr>
        <w:t xml:space="preserve"> [1999] AC 82 (HL).</w:t>
      </w:r>
    </w:p>
  </w:footnote>
  <w:footnote w:id="10">
    <w:p w14:paraId="5DA85311" w14:textId="77777777" w:rsidR="007320DE" w:rsidRDefault="00000000">
      <w:pPr>
        <w:spacing w:before="80" w:after="80"/>
      </w:pPr>
      <w:r>
        <w:rPr>
          <w:rStyle w:val="FootnoteReference"/>
        </w:rPr>
        <w:footnoteRef/>
      </w:r>
      <w:r>
        <w:rPr>
          <w:i/>
          <w:iCs/>
          <w:sz w:val="18"/>
          <w:szCs w:val="18"/>
        </w:rPr>
        <w:t>DPP v Newbury</w:t>
      </w:r>
      <w:r>
        <w:rPr>
          <w:sz w:val="18"/>
          <w:szCs w:val="18"/>
        </w:rPr>
        <w:t xml:space="preserve"> [1977] AC 500 (HL).</w:t>
      </w:r>
    </w:p>
  </w:footnote>
  <w:footnote w:id="11">
    <w:p w14:paraId="1D879722" w14:textId="77777777" w:rsidR="007320DE" w:rsidRDefault="00000000">
      <w:pPr>
        <w:spacing w:before="80" w:after="80"/>
      </w:pPr>
      <w:r>
        <w:rPr>
          <w:rStyle w:val="FootnoteReference"/>
        </w:rPr>
        <w:footnoteRef/>
      </w:r>
      <w:r>
        <w:rPr>
          <w:i/>
          <w:iCs/>
          <w:sz w:val="18"/>
          <w:szCs w:val="18"/>
        </w:rPr>
        <w:t>R v Adomako</w:t>
      </w:r>
      <w:r>
        <w:rPr>
          <w:sz w:val="18"/>
          <w:szCs w:val="18"/>
        </w:rPr>
        <w:t xml:space="preserve"> [1995] 1 AC 171 (HL).</w:t>
      </w:r>
    </w:p>
  </w:footnote>
  <w:footnote w:id="12">
    <w:p w14:paraId="75BDB2AA" w14:textId="77777777" w:rsidR="007320DE" w:rsidRDefault="00000000">
      <w:pPr>
        <w:spacing w:before="80" w:after="80"/>
      </w:pPr>
      <w:r>
        <w:rPr>
          <w:rStyle w:val="FootnoteReference"/>
        </w:rPr>
        <w:footnoteRef/>
      </w:r>
      <w:r>
        <w:rPr>
          <w:i/>
          <w:iCs/>
          <w:sz w:val="18"/>
          <w:szCs w:val="18"/>
        </w:rPr>
        <w:t>R v Savage; R v Parmenter</w:t>
      </w:r>
      <w:r>
        <w:rPr>
          <w:sz w:val="18"/>
          <w:szCs w:val="18"/>
        </w:rPr>
        <w:t xml:space="preserve"> [1991] 4 All ER 698 (HL).</w:t>
      </w:r>
    </w:p>
  </w:footnote>
  <w:footnote w:id="13">
    <w:p w14:paraId="097C1042" w14:textId="77777777" w:rsidR="007320DE" w:rsidRDefault="00000000">
      <w:pPr>
        <w:spacing w:before="80" w:after="80"/>
      </w:pPr>
      <w:r>
        <w:rPr>
          <w:rStyle w:val="FootnoteReference"/>
        </w:rPr>
        <w:footnoteRef/>
      </w:r>
      <w:r>
        <w:rPr>
          <w:sz w:val="18"/>
          <w:szCs w:val="18"/>
        </w:rPr>
        <w:t>Offences Against the Person Act 1861, s 47.</w:t>
      </w:r>
    </w:p>
  </w:footnote>
  <w:footnote w:id="14">
    <w:p w14:paraId="7788680C" w14:textId="77777777" w:rsidR="007320DE" w:rsidRDefault="00000000">
      <w:pPr>
        <w:spacing w:before="80" w:after="80"/>
      </w:pPr>
      <w:r>
        <w:rPr>
          <w:rStyle w:val="FootnoteReference"/>
        </w:rPr>
        <w:footnoteRef/>
      </w:r>
      <w:r>
        <w:rPr>
          <w:sz w:val="18"/>
          <w:szCs w:val="18"/>
        </w:rPr>
        <w:t>Offences Against the Person Act 1861, s 20.</w:t>
      </w:r>
    </w:p>
  </w:footnote>
  <w:footnote w:id="15">
    <w:p w14:paraId="470C9DC7" w14:textId="77777777" w:rsidR="007320DE" w:rsidRDefault="00000000">
      <w:pPr>
        <w:spacing w:before="80" w:after="80"/>
      </w:pPr>
      <w:r>
        <w:rPr>
          <w:rStyle w:val="FootnoteReference"/>
        </w:rPr>
        <w:footnoteRef/>
      </w:r>
      <w:r>
        <w:rPr>
          <w:sz w:val="18"/>
          <w:szCs w:val="18"/>
        </w:rPr>
        <w:t>Coroners and Justice Act 2009, s 54.</w:t>
      </w:r>
    </w:p>
  </w:footnote>
  <w:footnote w:id="16">
    <w:p w14:paraId="4A0DBA3A" w14:textId="77777777" w:rsidR="007320DE" w:rsidRDefault="00000000">
      <w:pPr>
        <w:spacing w:before="80" w:after="80"/>
      </w:pPr>
      <w:r>
        <w:rPr>
          <w:rStyle w:val="FootnoteReference"/>
        </w:rPr>
        <w:footnoteRef/>
      </w:r>
      <w:r>
        <w:rPr>
          <w:sz w:val="18"/>
          <w:szCs w:val="18"/>
        </w:rPr>
        <w:t xml:space="preserve">David Ormerod and Karl Laird, </w:t>
      </w:r>
      <w:r>
        <w:rPr>
          <w:i/>
          <w:iCs/>
          <w:sz w:val="18"/>
          <w:szCs w:val="18"/>
        </w:rPr>
        <w:t>Smith, Hogan and Ormerod's Criminal Law</w:t>
      </w:r>
      <w:r>
        <w:rPr>
          <w:sz w:val="18"/>
          <w:szCs w:val="18"/>
        </w:rPr>
        <w:t xml:space="preserve"> (15th edn, OUP 2018) 67.</w:t>
      </w:r>
    </w:p>
  </w:footnote>
  <w:footnote w:id="17">
    <w:p w14:paraId="0BAE223C" w14:textId="77777777" w:rsidR="007320DE" w:rsidRDefault="00000000">
      <w:pPr>
        <w:spacing w:before="80" w:after="80"/>
      </w:pPr>
      <w:r>
        <w:rPr>
          <w:rStyle w:val="FootnoteReference"/>
        </w:rPr>
        <w:footnoteRef/>
      </w:r>
      <w:r>
        <w:rPr>
          <w:sz w:val="18"/>
          <w:szCs w:val="18"/>
        </w:rPr>
        <w:t xml:space="preserve">Jonathan Herring, </w:t>
      </w:r>
      <w:r>
        <w:rPr>
          <w:i/>
          <w:iCs/>
          <w:sz w:val="18"/>
          <w:szCs w:val="18"/>
        </w:rPr>
        <w:t>Criminal Law: Text, Cases and Materials</w:t>
      </w:r>
      <w:r>
        <w:rPr>
          <w:sz w:val="18"/>
          <w:szCs w:val="18"/>
        </w:rPr>
        <w:t xml:space="preserve"> (9th edn, OUP 2020) 245.</w:t>
      </w:r>
    </w:p>
  </w:footnote>
  <w:footnote w:id="18">
    <w:p w14:paraId="28EF796E" w14:textId="77777777" w:rsidR="00766311" w:rsidRDefault="00766311" w:rsidP="00766311">
      <w:pPr>
        <w:spacing w:before="80" w:after="80"/>
      </w:pPr>
      <w:r>
        <w:rPr>
          <w:rStyle w:val="FootnoteReference"/>
        </w:rPr>
        <w:footnoteRef/>
      </w:r>
      <w:r>
        <w:rPr>
          <w:sz w:val="18"/>
          <w:szCs w:val="18"/>
        </w:rPr>
        <w:t>Crown Prosecution Service, 'Homicide: Murder and Manslaughter' (CPS, 2024) &lt;</w:t>
      </w:r>
      <w:r>
        <w:rPr>
          <w:color w:val="0000FF"/>
          <w:sz w:val="18"/>
          <w:szCs w:val="18"/>
          <w:u w:val="single"/>
        </w:rPr>
        <w:t>https://www.cps.gov.uk/legal-guidance/homicide-murder-and-manslaughter</w:t>
      </w:r>
      <w:r>
        <w:rPr>
          <w:sz w:val="18"/>
          <w:szCs w:val="18"/>
        </w:rPr>
        <w:t>&gt; accessed 28 June 2025.</w:t>
      </w:r>
    </w:p>
  </w:footnote>
  <w:footnote w:id="19">
    <w:p w14:paraId="413FA30D" w14:textId="77777777" w:rsidR="007320DE" w:rsidRDefault="00000000">
      <w:pPr>
        <w:spacing w:before="80" w:after="80"/>
      </w:pPr>
      <w:r>
        <w:rPr>
          <w:rStyle w:val="FootnoteReference"/>
        </w:rPr>
        <w:footnoteRef/>
      </w:r>
      <w:r>
        <w:rPr>
          <w:i/>
          <w:iCs/>
          <w:sz w:val="18"/>
          <w:szCs w:val="18"/>
        </w:rPr>
        <w:t>R v Adomako</w:t>
      </w:r>
      <w:r>
        <w:rPr>
          <w:sz w:val="18"/>
          <w:szCs w:val="18"/>
        </w:rPr>
        <w:t xml:space="preserve"> [1995] 1 AC 171 (HL).</w:t>
      </w:r>
    </w:p>
  </w:footnote>
  <w:footnote w:id="20">
    <w:p w14:paraId="415F128C" w14:textId="77777777" w:rsidR="007320DE" w:rsidRDefault="00000000">
      <w:pPr>
        <w:spacing w:before="80" w:after="80"/>
      </w:pPr>
      <w:r>
        <w:rPr>
          <w:rStyle w:val="FootnoteReference"/>
        </w:rPr>
        <w:footnoteRef/>
      </w:r>
      <w:r>
        <w:rPr>
          <w:i/>
          <w:iCs/>
          <w:sz w:val="18"/>
          <w:szCs w:val="18"/>
        </w:rPr>
        <w:t>R v Church</w:t>
      </w:r>
      <w:r>
        <w:rPr>
          <w:sz w:val="18"/>
          <w:szCs w:val="18"/>
        </w:rPr>
        <w:t xml:space="preserve"> [1966] 1 QB 59 (CCA).</w:t>
      </w:r>
    </w:p>
  </w:footnote>
  <w:footnote w:id="21">
    <w:p w14:paraId="7757631E" w14:textId="77777777" w:rsidR="007320DE" w:rsidRDefault="00000000">
      <w:pPr>
        <w:spacing w:before="80" w:after="80"/>
      </w:pPr>
      <w:r>
        <w:rPr>
          <w:rStyle w:val="FootnoteReference"/>
        </w:rPr>
        <w:footnoteRef/>
      </w:r>
      <w:r>
        <w:rPr>
          <w:i/>
          <w:iCs/>
          <w:sz w:val="18"/>
          <w:szCs w:val="18"/>
        </w:rPr>
        <w:t>R v Blaue</w:t>
      </w:r>
      <w:r>
        <w:rPr>
          <w:sz w:val="18"/>
          <w:szCs w:val="18"/>
        </w:rPr>
        <w:t xml:space="preserve"> [1975] 1 WLR 1411 (CA).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96C06"/>
    <w:multiLevelType w:val="hybridMultilevel"/>
    <w:tmpl w:val="C0448806"/>
    <w:lvl w:ilvl="0" w:tplc="E6B8D2A8">
      <w:start w:val="1"/>
      <w:numFmt w:val="bullet"/>
      <w:lvlText w:val="●"/>
      <w:lvlJc w:val="left"/>
      <w:pPr>
        <w:ind w:left="720" w:hanging="360"/>
      </w:pPr>
    </w:lvl>
    <w:lvl w:ilvl="1" w:tplc="199A7514">
      <w:start w:val="1"/>
      <w:numFmt w:val="bullet"/>
      <w:lvlText w:val="○"/>
      <w:lvlJc w:val="left"/>
      <w:pPr>
        <w:ind w:left="1440" w:hanging="360"/>
      </w:pPr>
    </w:lvl>
    <w:lvl w:ilvl="2" w:tplc="0E74E3E6">
      <w:start w:val="1"/>
      <w:numFmt w:val="bullet"/>
      <w:lvlText w:val="■"/>
      <w:lvlJc w:val="left"/>
      <w:pPr>
        <w:ind w:left="2160" w:hanging="360"/>
      </w:pPr>
    </w:lvl>
    <w:lvl w:ilvl="3" w:tplc="890AE1D2">
      <w:start w:val="1"/>
      <w:numFmt w:val="bullet"/>
      <w:lvlText w:val="●"/>
      <w:lvlJc w:val="left"/>
      <w:pPr>
        <w:ind w:left="2880" w:hanging="360"/>
      </w:pPr>
    </w:lvl>
    <w:lvl w:ilvl="4" w:tplc="C9C41F24">
      <w:start w:val="1"/>
      <w:numFmt w:val="bullet"/>
      <w:lvlText w:val="○"/>
      <w:lvlJc w:val="left"/>
      <w:pPr>
        <w:ind w:left="3600" w:hanging="360"/>
      </w:pPr>
    </w:lvl>
    <w:lvl w:ilvl="5" w:tplc="2912E6EE">
      <w:start w:val="1"/>
      <w:numFmt w:val="bullet"/>
      <w:lvlText w:val="■"/>
      <w:lvlJc w:val="left"/>
      <w:pPr>
        <w:ind w:left="4320" w:hanging="360"/>
      </w:pPr>
    </w:lvl>
    <w:lvl w:ilvl="6" w:tplc="F6F01166">
      <w:start w:val="1"/>
      <w:numFmt w:val="bullet"/>
      <w:lvlText w:val="●"/>
      <w:lvlJc w:val="left"/>
      <w:pPr>
        <w:ind w:left="5040" w:hanging="360"/>
      </w:pPr>
    </w:lvl>
    <w:lvl w:ilvl="7" w:tplc="D242C95E">
      <w:start w:val="1"/>
      <w:numFmt w:val="bullet"/>
      <w:lvlText w:val="●"/>
      <w:lvlJc w:val="left"/>
      <w:pPr>
        <w:ind w:left="5760" w:hanging="360"/>
      </w:pPr>
    </w:lvl>
    <w:lvl w:ilvl="8" w:tplc="A9DCF03E">
      <w:start w:val="1"/>
      <w:numFmt w:val="bullet"/>
      <w:lvlText w:val="●"/>
      <w:lvlJc w:val="left"/>
      <w:pPr>
        <w:ind w:left="6480" w:hanging="360"/>
      </w:pPr>
    </w:lvl>
  </w:abstractNum>
  <w:num w:numId="1" w16cid:durableId="5779778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0DE"/>
    <w:rsid w:val="000A00F6"/>
    <w:rsid w:val="000B29BC"/>
    <w:rsid w:val="00165E91"/>
    <w:rsid w:val="001908A6"/>
    <w:rsid w:val="005852D4"/>
    <w:rsid w:val="006C7B20"/>
    <w:rsid w:val="0071525D"/>
    <w:rsid w:val="007320DE"/>
    <w:rsid w:val="00766311"/>
    <w:rsid w:val="007F5414"/>
    <w:rsid w:val="009676D0"/>
    <w:rsid w:val="009E30CD"/>
    <w:rsid w:val="00A307FD"/>
    <w:rsid w:val="00AB5E51"/>
    <w:rsid w:val="00B44F48"/>
    <w:rsid w:val="00B633D6"/>
    <w:rsid w:val="00B70E70"/>
    <w:rsid w:val="00D678B9"/>
    <w:rsid w:val="00EA5C0E"/>
    <w:rsid w:val="00F35FE7"/>
    <w:rsid w:val="00FF1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04902"/>
  <w15:docId w15:val="{26B2986F-8F46-4D02-87EC-197F13D43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860</Words>
  <Characters>4904</Characters>
  <DocSecurity>0</DocSecurity>
  <Lines>40</Lines>
  <Paragraphs>11</Paragraphs>
  <ScaleCrop>false</ScaleCrop>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2026-06-28T14:27:00Z</dcterms:created>
  <dcterms:modified xsi:type="dcterms:W3CDTF">2026-06-28T15:08:00Z</dcterms:modified>
</cp:coreProperties>
</file>